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70" w:rsidRPr="00B27C9D" w:rsidRDefault="00186370" w:rsidP="00186370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b/>
          <w:lang w:eastAsia="pl-PL"/>
        </w:rPr>
      </w:pPr>
      <w:r w:rsidRPr="00B27C9D">
        <w:rPr>
          <w:rFonts w:ascii="Open Sans" w:hAnsi="Open Sans"/>
          <w:b/>
          <w:lang w:eastAsia="pl-PL"/>
        </w:rPr>
        <w:t>Uchwała nr 2</w:t>
      </w:r>
      <w:r w:rsidR="00306699">
        <w:rPr>
          <w:rFonts w:ascii="Open Sans" w:hAnsi="Open Sans"/>
          <w:b/>
          <w:lang w:eastAsia="pl-PL"/>
        </w:rPr>
        <w:t>/2017</w:t>
      </w:r>
    </w:p>
    <w:p w:rsidR="00186370" w:rsidRPr="00B27C9D" w:rsidRDefault="00186370" w:rsidP="00186370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b/>
          <w:lang w:eastAsia="pl-PL"/>
        </w:rPr>
      </w:pPr>
      <w:r w:rsidRPr="00B27C9D">
        <w:rPr>
          <w:rFonts w:ascii="Open Sans" w:hAnsi="Open Sans"/>
          <w:b/>
          <w:lang w:eastAsia="pl-PL"/>
        </w:rPr>
        <w:t>Nadzwyczajnego Zgromadzenia Wspólników</w:t>
      </w:r>
    </w:p>
    <w:p w:rsidR="00186370" w:rsidRPr="00B27C9D" w:rsidRDefault="00186370" w:rsidP="00186370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b/>
          <w:lang w:eastAsia="pl-PL"/>
        </w:rPr>
      </w:pPr>
      <w:r w:rsidRPr="00B27C9D">
        <w:rPr>
          <w:rFonts w:ascii="Open Sans" w:hAnsi="Open Sans"/>
          <w:b/>
          <w:lang w:eastAsia="pl-PL"/>
        </w:rPr>
        <w:t>Zakładu Wodociągów i Kanalizacji</w:t>
      </w:r>
    </w:p>
    <w:p w:rsidR="00186370" w:rsidRPr="00B27C9D" w:rsidRDefault="00186370" w:rsidP="00C61E87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b/>
          <w:lang w:eastAsia="pl-PL"/>
        </w:rPr>
      </w:pPr>
      <w:r w:rsidRPr="00B27C9D">
        <w:rPr>
          <w:rFonts w:ascii="Open Sans" w:hAnsi="Open Sans"/>
          <w:b/>
          <w:lang w:eastAsia="pl-PL"/>
        </w:rPr>
        <w:t>Spółka z ogranicz</w:t>
      </w:r>
      <w:r w:rsidR="00C61E87">
        <w:rPr>
          <w:rFonts w:ascii="Open Sans" w:hAnsi="Open Sans"/>
          <w:b/>
          <w:lang w:eastAsia="pl-PL"/>
        </w:rPr>
        <w:t>oną odpowiedzialnością w Oławie</w:t>
      </w:r>
    </w:p>
    <w:p w:rsidR="00186370" w:rsidRPr="00B27C9D" w:rsidRDefault="00186370" w:rsidP="00186370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b/>
          <w:lang w:eastAsia="pl-PL"/>
        </w:rPr>
      </w:pPr>
      <w:r w:rsidRPr="00B27C9D">
        <w:rPr>
          <w:rFonts w:ascii="Open Sans" w:hAnsi="Open Sans"/>
          <w:b/>
          <w:lang w:eastAsia="pl-PL"/>
        </w:rPr>
        <w:t xml:space="preserve">z dnia </w:t>
      </w:r>
      <w:r w:rsidR="0055750F">
        <w:rPr>
          <w:rFonts w:ascii="Open Sans" w:hAnsi="Open Sans"/>
          <w:b/>
          <w:lang w:eastAsia="pl-PL"/>
        </w:rPr>
        <w:t>08.06.</w:t>
      </w:r>
      <w:r w:rsidRPr="00B27C9D">
        <w:rPr>
          <w:rFonts w:ascii="Open Sans" w:hAnsi="Open Sans"/>
          <w:b/>
          <w:lang w:eastAsia="pl-PL"/>
        </w:rPr>
        <w:t>2017 r.</w:t>
      </w:r>
    </w:p>
    <w:p w:rsidR="00186370" w:rsidRPr="00B27C9D" w:rsidRDefault="00186370" w:rsidP="00186370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b/>
          <w:lang w:eastAsia="pl-PL"/>
        </w:rPr>
      </w:pPr>
      <w:r w:rsidRPr="00B27C9D">
        <w:rPr>
          <w:rFonts w:ascii="Open Sans" w:hAnsi="Open Sans"/>
          <w:b/>
          <w:lang w:eastAsia="pl-PL"/>
        </w:rPr>
        <w:t>w sprawie kształtowania wynagrodzenia Prezesa Zarządu Spółki</w:t>
      </w:r>
    </w:p>
    <w:p w:rsidR="00186370" w:rsidRPr="00E32484" w:rsidRDefault="00186370" w:rsidP="00186370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b/>
          <w:color w:val="FF0000"/>
          <w:lang w:eastAsia="pl-PL"/>
        </w:rPr>
      </w:pPr>
    </w:p>
    <w:p w:rsidR="00186370" w:rsidRPr="00E32484" w:rsidRDefault="00186370" w:rsidP="00186370">
      <w:pPr>
        <w:shd w:val="clear" w:color="auto" w:fill="FFFFFF"/>
        <w:suppressAutoHyphens w:val="0"/>
        <w:spacing w:line="240" w:lineRule="atLeast"/>
        <w:jc w:val="both"/>
        <w:rPr>
          <w:rFonts w:ascii="Open Sans" w:hAnsi="Open Sans"/>
          <w:lang w:eastAsia="pl-PL"/>
        </w:rPr>
      </w:pPr>
    </w:p>
    <w:p w:rsidR="00186370" w:rsidRPr="00E32484" w:rsidRDefault="00186370" w:rsidP="00186370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lang w:eastAsia="pl-PL"/>
        </w:rPr>
      </w:pPr>
      <w:r w:rsidRPr="00E32484">
        <w:rPr>
          <w:rFonts w:ascii="Open Sans" w:hAnsi="Open Sans"/>
          <w:lang w:eastAsia="pl-PL"/>
        </w:rPr>
        <w:t xml:space="preserve"> § 1</w:t>
      </w:r>
    </w:p>
    <w:p w:rsidR="00186370" w:rsidRPr="00E32484" w:rsidRDefault="00186370" w:rsidP="00186370">
      <w:pPr>
        <w:shd w:val="clear" w:color="auto" w:fill="FFFFFF"/>
        <w:suppressAutoHyphens w:val="0"/>
        <w:spacing w:line="240" w:lineRule="atLeast"/>
        <w:jc w:val="both"/>
        <w:rPr>
          <w:rFonts w:ascii="Open Sans" w:hAnsi="Open Sans"/>
          <w:lang w:eastAsia="pl-PL"/>
        </w:rPr>
      </w:pPr>
      <w:r w:rsidRPr="00E32484">
        <w:rPr>
          <w:rFonts w:ascii="Open Sans" w:hAnsi="Open Sans"/>
          <w:lang w:eastAsia="pl-PL"/>
        </w:rPr>
        <w:t xml:space="preserve">Nadzwyczajne Zgromadzenie Wspólników, działając na podstawie  art. 227 § 1 i </w:t>
      </w:r>
      <w:r w:rsidRPr="00E32484">
        <w:t xml:space="preserve">art. 203 </w:t>
      </w:r>
      <w:r w:rsidRPr="00E32484">
        <w:rPr>
          <w:vertAlign w:val="superscript"/>
        </w:rPr>
        <w:t>1</w:t>
      </w:r>
      <w:r w:rsidRPr="00E32484">
        <w:t xml:space="preserve"> </w:t>
      </w:r>
      <w:r w:rsidRPr="00E32484">
        <w:rPr>
          <w:rFonts w:ascii="Open Sans" w:hAnsi="Open Sans"/>
          <w:lang w:eastAsia="pl-PL"/>
        </w:rPr>
        <w:t xml:space="preserve">Kodeksu spółek handlowych (Dz.U.2016.1578 z dnia 29 września 2016 roku) i § 15 ust. 1 pkt 11) umowy Spółki, a także  art. 2 ust. 1 i 2 pkt 1) ustawy  z dnia 9 czerwca 2016 roku o zasadach kształtowania wynagrodzeń osób kierujących niektórymi spółkami (Dz. U. 2016.1202 z dnia </w:t>
      </w:r>
      <w:r w:rsidR="00750098">
        <w:rPr>
          <w:rFonts w:ascii="Open Sans" w:hAnsi="Open Sans"/>
          <w:lang w:eastAsia="pl-PL"/>
        </w:rPr>
        <w:br/>
      </w:r>
      <w:r w:rsidRPr="00E32484">
        <w:rPr>
          <w:rFonts w:ascii="Open Sans" w:hAnsi="Open Sans"/>
          <w:lang w:eastAsia="pl-PL"/>
        </w:rPr>
        <w:t xml:space="preserve">9 sierpnia 2016 roku) i  art. 12 ust. 4 ustawy z dnia 20 grudnia 1997 roku o gospodarce komunalnej (Dz.U.2016.573 z dnia 26 kwietnia </w:t>
      </w:r>
      <w:r w:rsidR="00A0172F">
        <w:rPr>
          <w:rFonts w:ascii="Open Sans" w:hAnsi="Open Sans"/>
          <w:lang w:eastAsia="pl-PL"/>
        </w:rPr>
        <w:t>2016 roku),</w:t>
      </w:r>
      <w:r w:rsidRPr="00E32484">
        <w:rPr>
          <w:rFonts w:ascii="Open Sans" w:hAnsi="Open Sans"/>
          <w:lang w:eastAsia="pl-PL"/>
        </w:rPr>
        <w:t xml:space="preserve"> ustala, że wynagrodzenie Prezesa Zarządu Spółki zostanie ukształtowane w sposób opisany w niniejszej uchwale.</w:t>
      </w:r>
    </w:p>
    <w:p w:rsidR="00186370" w:rsidRPr="00E32484" w:rsidRDefault="00186370" w:rsidP="00186370">
      <w:pPr>
        <w:shd w:val="clear" w:color="auto" w:fill="FFFFFF"/>
        <w:suppressAutoHyphens w:val="0"/>
        <w:spacing w:line="240" w:lineRule="atLeast"/>
        <w:jc w:val="both"/>
        <w:rPr>
          <w:rFonts w:ascii="Open Sans" w:hAnsi="Open Sans"/>
          <w:lang w:eastAsia="pl-PL"/>
        </w:rPr>
      </w:pPr>
    </w:p>
    <w:p w:rsidR="00186370" w:rsidRPr="00E32484" w:rsidRDefault="00186370" w:rsidP="00186370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lang w:eastAsia="pl-PL"/>
        </w:rPr>
      </w:pPr>
      <w:r w:rsidRPr="00E32484">
        <w:rPr>
          <w:lang w:eastAsia="pl-PL"/>
        </w:rPr>
        <w:t>§</w:t>
      </w:r>
      <w:r w:rsidRPr="00E32484">
        <w:rPr>
          <w:rFonts w:ascii="Open Sans" w:hAnsi="Open Sans"/>
          <w:lang w:eastAsia="pl-PL"/>
        </w:rPr>
        <w:t xml:space="preserve"> 2</w:t>
      </w:r>
    </w:p>
    <w:p w:rsidR="00186370" w:rsidRPr="00E32484" w:rsidRDefault="00186370" w:rsidP="00186370">
      <w:pPr>
        <w:spacing w:line="240" w:lineRule="atLeast"/>
        <w:jc w:val="both"/>
      </w:pPr>
      <w:r w:rsidRPr="00E32484">
        <w:t>Wynagrodzenie Prezesa Zarządu Spółki składa się z części stałej (stanowiącej wynagrodzenie miesięczne podstawowe, określonej kwotowo) oraz części zmiennej (stanowiącej wynagrodzenie uzupełniające za rok obrotowy Spółki).</w:t>
      </w:r>
    </w:p>
    <w:p w:rsidR="00186370" w:rsidRPr="00E32484" w:rsidRDefault="00186370" w:rsidP="00186370">
      <w:pPr>
        <w:spacing w:line="240" w:lineRule="atLeast"/>
        <w:jc w:val="both"/>
      </w:pPr>
    </w:p>
    <w:p w:rsidR="00186370" w:rsidRPr="00B27C9D" w:rsidRDefault="00186370" w:rsidP="00186370">
      <w:pPr>
        <w:spacing w:line="240" w:lineRule="atLeast"/>
        <w:jc w:val="center"/>
      </w:pPr>
      <w:r w:rsidRPr="00B27C9D">
        <w:t>§ 3</w:t>
      </w:r>
    </w:p>
    <w:p w:rsidR="00186370" w:rsidRPr="005B33D8" w:rsidRDefault="00186370" w:rsidP="00186370">
      <w:pPr>
        <w:spacing w:line="240" w:lineRule="atLeast"/>
        <w:jc w:val="both"/>
      </w:pPr>
      <w:r w:rsidRPr="00E32484">
        <w:t xml:space="preserve">Część stałą wynagrodzenia Prezesa Zarządu Spółki ustala się z uwzględnieniem skali działalności Spółki, w szczególności wartości jej aktywów, osiąganych przychodów i wielkości zatrudnienia, w wysokości </w:t>
      </w:r>
      <w:r w:rsidRPr="00E32484">
        <w:rPr>
          <w:i/>
        </w:rPr>
        <w:t xml:space="preserve">4,5-krotności </w:t>
      </w:r>
      <w:r w:rsidRPr="00E32484">
        <w:t>podstawy wymiaru</w:t>
      </w:r>
      <w:r w:rsidRPr="005B33D8">
        <w:t xml:space="preserve">, tj. </w:t>
      </w:r>
      <w:r>
        <w:t xml:space="preserve">19 817,01 </w:t>
      </w:r>
      <w:r w:rsidRPr="005B33D8">
        <w:t xml:space="preserve">zł brutto na dzień podpisania umowy o świadczenie usług zarządzania, z zastrzeżeniem, że pod pojęciem podstawy wymiaru rozumie się wysokość przeciętnego miesięcznego wynagrodzenia </w:t>
      </w:r>
      <w:r w:rsidR="0055750F">
        <w:br/>
      </w:r>
      <w:r w:rsidRPr="005B33D8">
        <w:t>w sektorze przedsiębiorstw bez wypłat nagród z zysku w czwartym kwartale roku poprzedniego, ogłoszonego przez Prezesa Głównego Urzędu Statystycznego.</w:t>
      </w:r>
    </w:p>
    <w:p w:rsidR="00186370" w:rsidRPr="00B27C9D" w:rsidRDefault="00186370" w:rsidP="00186370">
      <w:pPr>
        <w:spacing w:line="240" w:lineRule="atLeast"/>
        <w:jc w:val="both"/>
      </w:pPr>
    </w:p>
    <w:p w:rsidR="00750098" w:rsidRDefault="00750098" w:rsidP="00186370">
      <w:pPr>
        <w:spacing w:line="240" w:lineRule="atLeast"/>
        <w:jc w:val="center"/>
      </w:pPr>
    </w:p>
    <w:p w:rsidR="00186370" w:rsidRPr="00B27C9D" w:rsidRDefault="00186370" w:rsidP="00186370">
      <w:pPr>
        <w:spacing w:line="240" w:lineRule="atLeast"/>
        <w:jc w:val="center"/>
      </w:pPr>
      <w:r w:rsidRPr="00B27C9D">
        <w:t>§ 4</w:t>
      </w:r>
    </w:p>
    <w:p w:rsidR="005978B9" w:rsidRPr="00B27C9D" w:rsidRDefault="00186370" w:rsidP="00BB382E">
      <w:pPr>
        <w:numPr>
          <w:ilvl w:val="0"/>
          <w:numId w:val="1"/>
        </w:numPr>
        <w:spacing w:line="240" w:lineRule="atLeast"/>
        <w:ind w:left="284" w:hanging="284"/>
        <w:jc w:val="both"/>
      </w:pPr>
      <w:r w:rsidRPr="00B27C9D">
        <w:t>Część zmienna wynagrodzenia Prezesa Zarządu Spółki w 2017 roku uzależniona jest od poziomu realizacji celów zarządczych. Część zmienna wynagrodzenia wynosi za 2017 rok 50% w wynagrodzenia podstawowego Prezesa Zarządu Spółki za okres od dnia podpisania umowy o świadczenie usług zarządzania do dnia 31 grudnia 2017 roku.</w:t>
      </w:r>
    </w:p>
    <w:p w:rsidR="00186370" w:rsidRPr="00B27C9D" w:rsidRDefault="005978B9" w:rsidP="00BB382E">
      <w:pPr>
        <w:pStyle w:val="Akapitzlist"/>
        <w:numPr>
          <w:ilvl w:val="0"/>
          <w:numId w:val="1"/>
        </w:numPr>
        <w:tabs>
          <w:tab w:val="left" w:pos="284"/>
          <w:tab w:val="left" w:pos="1134"/>
        </w:tabs>
        <w:spacing w:line="240" w:lineRule="atLeast"/>
        <w:ind w:left="284"/>
        <w:jc w:val="both"/>
      </w:pPr>
      <w:r>
        <w:t>Upoważnia się Radę Nadzorczą Spółki do uszczegółowienia celów zarządczych.</w:t>
      </w:r>
    </w:p>
    <w:p w:rsidR="00186370" w:rsidRPr="00B27C9D" w:rsidRDefault="00186370" w:rsidP="00186370">
      <w:pPr>
        <w:tabs>
          <w:tab w:val="left" w:pos="284"/>
          <w:tab w:val="left" w:pos="1134"/>
        </w:tabs>
        <w:spacing w:line="240" w:lineRule="atLeast"/>
        <w:ind w:left="284"/>
        <w:jc w:val="both"/>
      </w:pPr>
    </w:p>
    <w:p w:rsidR="00186370" w:rsidRPr="00B27C9D" w:rsidRDefault="00186370" w:rsidP="00186370">
      <w:pPr>
        <w:tabs>
          <w:tab w:val="left" w:pos="284"/>
          <w:tab w:val="left" w:pos="1134"/>
        </w:tabs>
        <w:spacing w:line="240" w:lineRule="atLeast"/>
        <w:ind w:left="284"/>
        <w:jc w:val="both"/>
      </w:pPr>
    </w:p>
    <w:p w:rsidR="00186370" w:rsidRPr="00B27C9D" w:rsidRDefault="00186370" w:rsidP="005978B9">
      <w:pPr>
        <w:shd w:val="clear" w:color="auto" w:fill="FFFFFF"/>
        <w:suppressAutoHyphens w:val="0"/>
        <w:spacing w:line="240" w:lineRule="atLeast"/>
        <w:jc w:val="center"/>
        <w:rPr>
          <w:rFonts w:ascii="Open Sans" w:hAnsi="Open Sans"/>
          <w:lang w:eastAsia="pl-PL"/>
        </w:rPr>
      </w:pPr>
      <w:r w:rsidRPr="00B27C9D">
        <w:rPr>
          <w:lang w:eastAsia="pl-PL"/>
        </w:rPr>
        <w:t>§</w:t>
      </w:r>
      <w:r w:rsidRPr="00B27C9D">
        <w:rPr>
          <w:rFonts w:ascii="Open Sans" w:hAnsi="Open Sans"/>
          <w:lang w:eastAsia="pl-PL"/>
        </w:rPr>
        <w:t xml:space="preserve"> 5</w:t>
      </w:r>
    </w:p>
    <w:p w:rsidR="00186370" w:rsidRPr="00E207FC" w:rsidRDefault="00186370" w:rsidP="00186370">
      <w:pPr>
        <w:spacing w:line="240" w:lineRule="atLeast"/>
        <w:jc w:val="both"/>
      </w:pPr>
      <w:r w:rsidRPr="00B27C9D">
        <w:rPr>
          <w:rFonts w:ascii="Open Sans" w:hAnsi="Open Sans"/>
          <w:lang w:eastAsia="pl-PL"/>
        </w:rPr>
        <w:t>W wykonaniu niniejszej uchwały i uchwały w spra</w:t>
      </w:r>
      <w:bookmarkStart w:id="0" w:name="_GoBack"/>
      <w:bookmarkEnd w:id="0"/>
      <w:r w:rsidRPr="00B27C9D">
        <w:rPr>
          <w:rFonts w:ascii="Open Sans" w:hAnsi="Open Sans"/>
          <w:lang w:eastAsia="pl-PL"/>
        </w:rPr>
        <w:t xml:space="preserve">wie zasad kształtowania wynagrodzeń członków organu zarządzającego </w:t>
      </w:r>
      <w:r w:rsidRPr="00B27C9D">
        <w:t xml:space="preserve">z Prezesem Zarządu Spółki zostanie zawarta umowa </w:t>
      </w:r>
      <w:r w:rsidR="0055750F">
        <w:br/>
      </w:r>
      <w:r w:rsidRPr="00B27C9D">
        <w:t>o świadczenie usług zarządzania na czas pełnienia funkcji, z obowiązkiem świadczenia</w:t>
      </w:r>
      <w:r w:rsidRPr="00E32484">
        <w:rPr>
          <w:color w:val="FF0000"/>
        </w:rPr>
        <w:t xml:space="preserve"> </w:t>
      </w:r>
      <w:r w:rsidRPr="00E207FC">
        <w:t xml:space="preserve">osobistego takiego członka, bez względu na to, czy działa on w zakresie prowadzonej działalności gospodarczej. </w:t>
      </w:r>
    </w:p>
    <w:p w:rsidR="00186370" w:rsidRPr="00E207FC" w:rsidRDefault="00186370" w:rsidP="00186370">
      <w:pPr>
        <w:spacing w:line="240" w:lineRule="atLeast"/>
        <w:jc w:val="both"/>
      </w:pPr>
    </w:p>
    <w:p w:rsidR="00186370" w:rsidRPr="00E207FC" w:rsidRDefault="00186370" w:rsidP="00186370">
      <w:pPr>
        <w:spacing w:line="240" w:lineRule="atLeast"/>
        <w:jc w:val="center"/>
      </w:pPr>
      <w:r w:rsidRPr="00E207FC">
        <w:t>§ 6</w:t>
      </w:r>
    </w:p>
    <w:p w:rsidR="00186370" w:rsidRPr="00E207FC" w:rsidRDefault="00186370" w:rsidP="00186370">
      <w:pPr>
        <w:numPr>
          <w:ilvl w:val="0"/>
          <w:numId w:val="2"/>
        </w:numPr>
        <w:spacing w:line="240" w:lineRule="atLeast"/>
        <w:ind w:left="284" w:hanging="284"/>
        <w:jc w:val="both"/>
      </w:pPr>
      <w:r w:rsidRPr="00E207FC">
        <w:t xml:space="preserve">Zgromadzenie Wspólników zezwala Prezesowi Zarządu Spółki na korzystanie z określonych poniżej urządzeń technicznych i zasobów stanowiących mienie Spółki </w:t>
      </w:r>
      <w:r w:rsidRPr="00E207FC">
        <w:lastRenderedPageBreak/>
        <w:t>w zakresie niezbędnym do wykonywania funkcji Prezesa Zarządu Spółki i zgodnie z zasadami określonymi w tej uchwale:</w:t>
      </w:r>
    </w:p>
    <w:p w:rsidR="00186370" w:rsidRPr="00E207FC" w:rsidRDefault="00186370" w:rsidP="00186370">
      <w:pPr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E207FC">
        <w:t>z gabinetu w siedzibie Spółki wraz z wyposażeniem,</w:t>
      </w:r>
    </w:p>
    <w:p w:rsidR="00186370" w:rsidRPr="00E207FC" w:rsidRDefault="00186370" w:rsidP="00186370">
      <w:pPr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E207FC">
        <w:t xml:space="preserve">z telefonów służbowych – stacjonarnych i komórkowych, </w:t>
      </w:r>
    </w:p>
    <w:p w:rsidR="00186370" w:rsidRPr="00E207FC" w:rsidRDefault="00186370" w:rsidP="00186370">
      <w:pPr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E207FC">
        <w:t xml:space="preserve">z komputerów - osobistego, stacjonarnego i przenośnego, z odpowiednim oprogramowaniem, </w:t>
      </w:r>
    </w:p>
    <w:p w:rsidR="00186370" w:rsidRPr="00E207FC" w:rsidRDefault="00186370" w:rsidP="00186370">
      <w:pPr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E207FC">
        <w:t>z karty płatniczej,</w:t>
      </w:r>
    </w:p>
    <w:p w:rsidR="00186370" w:rsidRDefault="00186370" w:rsidP="00186370">
      <w:pPr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E207FC">
        <w:t xml:space="preserve">z samochodu służbowego – </w:t>
      </w:r>
      <w:r w:rsidR="008070E5">
        <w:t>zgodnie z zasadami obowiązującymi w Spółce</w:t>
      </w:r>
      <w:r w:rsidRPr="00E207FC">
        <w:t>,</w:t>
      </w:r>
    </w:p>
    <w:p w:rsidR="00186370" w:rsidRPr="00E207FC" w:rsidRDefault="00186370" w:rsidP="00186370">
      <w:pPr>
        <w:numPr>
          <w:ilvl w:val="0"/>
          <w:numId w:val="3"/>
        </w:numPr>
        <w:tabs>
          <w:tab w:val="left" w:pos="284"/>
        </w:tabs>
        <w:spacing w:line="240" w:lineRule="atLeast"/>
        <w:jc w:val="both"/>
      </w:pPr>
      <w:r w:rsidRPr="00E207FC">
        <w:t>z wszelkich materiałów biurowych niezbędnych do wykonywania tej Umowy.</w:t>
      </w:r>
    </w:p>
    <w:p w:rsidR="00186370" w:rsidRPr="00E207FC" w:rsidRDefault="00186370" w:rsidP="00186370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</w:pPr>
      <w:r w:rsidRPr="00E207FC">
        <w:t xml:space="preserve">Urządzenia techniczne i zasoby stanowiące mienie Spółki, o których mowa w ust. 1 powyżej, będą przyznawane Prezesowi Zarządu Spółki do korzystania na podstawie protokołu przekazania, stwierdzającego datę przekazania i stan urządzenia na dzień przekazania. Zwrot w/w urządzeń technicznych i zasobów na rzecz Spółki nastąpi po ustaniu pełnienia funkcji przez Prezesa Zarządu Spółki – na podstawie protokołu zawierającego elementy, o których mowa powyżej. Spółka będzie pokrywać wszelkie koszty związane </w:t>
      </w:r>
      <w:r w:rsidR="008070E5">
        <w:br/>
      </w:r>
      <w:r w:rsidRPr="00E207FC">
        <w:t>z używaniem urządzeń technicznych i zasobów, o których mowa w niniejszym paragrafie.</w:t>
      </w:r>
    </w:p>
    <w:p w:rsidR="00186370" w:rsidRDefault="00186370" w:rsidP="00186370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</w:pPr>
      <w:r w:rsidRPr="00E207FC">
        <w:t>Prezes Zarządu Spółki jest uprawniony do korzystania z urządzeń technicznych i zasobów stanowiących mienie Spółki, o których mowa w ust. 1 powyżej, bez limitów.</w:t>
      </w:r>
    </w:p>
    <w:p w:rsidR="00186370" w:rsidRPr="00821FDE" w:rsidRDefault="00186370" w:rsidP="00186370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</w:pPr>
      <w:r w:rsidRPr="00821FDE">
        <w:t xml:space="preserve">Przyznaje się Prezesowi Zarządu prawo zwrotu kosztów używania do celów służbowych samochodu niebędącego własnością Spółki. Ustala się ryczałt  na jazdy lokalne samochodem prywatnym w wysokości 250 zł na miesiąc. </w:t>
      </w:r>
    </w:p>
    <w:p w:rsidR="00186370" w:rsidRPr="00821FDE" w:rsidRDefault="00186370" w:rsidP="00186370">
      <w:pPr>
        <w:numPr>
          <w:ilvl w:val="0"/>
          <w:numId w:val="2"/>
        </w:numPr>
        <w:tabs>
          <w:tab w:val="left" w:pos="284"/>
        </w:tabs>
        <w:spacing w:line="240" w:lineRule="atLeast"/>
        <w:ind w:left="284" w:hanging="284"/>
        <w:jc w:val="both"/>
      </w:pPr>
      <w:r w:rsidRPr="00821FDE">
        <w:t xml:space="preserve">Spółka  zawrze na swój koszt umowę ubezpieczenia na rzecz Organów Zarządzających </w:t>
      </w:r>
      <w:r w:rsidR="00880656">
        <w:br/>
      </w:r>
      <w:r w:rsidRPr="00821FDE">
        <w:t>w zakresie odpowiedzialności cywilnej w związku z niewykonaniem lub nienależytym wykonaniem obowiązków wobec Spółki na kwotę nie niższą niż 2 000 000,00 zł (dwa miliony złotych).</w:t>
      </w:r>
    </w:p>
    <w:p w:rsidR="00186370" w:rsidRPr="00821FDE" w:rsidRDefault="00186370" w:rsidP="00186370">
      <w:pPr>
        <w:tabs>
          <w:tab w:val="left" w:pos="284"/>
        </w:tabs>
        <w:spacing w:line="240" w:lineRule="atLeast"/>
        <w:jc w:val="both"/>
      </w:pPr>
    </w:p>
    <w:p w:rsidR="00186370" w:rsidRPr="00E207FC" w:rsidRDefault="00186370" w:rsidP="00186370">
      <w:pPr>
        <w:tabs>
          <w:tab w:val="left" w:pos="284"/>
        </w:tabs>
        <w:spacing w:line="240" w:lineRule="atLeast"/>
        <w:jc w:val="center"/>
      </w:pPr>
      <w:r w:rsidRPr="00E207FC">
        <w:t>§ 7</w:t>
      </w:r>
    </w:p>
    <w:p w:rsidR="00186370" w:rsidRPr="00E207FC" w:rsidRDefault="00186370" w:rsidP="00186370">
      <w:pPr>
        <w:tabs>
          <w:tab w:val="left" w:pos="284"/>
        </w:tabs>
        <w:spacing w:line="240" w:lineRule="atLeast"/>
        <w:jc w:val="both"/>
      </w:pPr>
      <w:r w:rsidRPr="00E207FC">
        <w:t xml:space="preserve">Zgromadzenie Wspólników postanawia, że w razie rozwiązania albo wypowiedzenia umowy </w:t>
      </w:r>
      <w:r w:rsidR="0055750F">
        <w:br/>
      </w:r>
      <w:r w:rsidRPr="00E207FC">
        <w:t>o świadczenie usług zarządzania, o której mowa w § 5 powyżej, przez Spółkę, z innych przyczyn niż naruszenie podstawowych obowiązków wynikających z tej umowy, Prezesowi Zarządu Spółki zostanie przyznana odprawa w wysokości trzykrotności części stałej wynagrodzenia, pod warunkiem pełnienia przez Prezesa Zarządu Spółki funkcji przez okres co najmniej dwunastu miesięcy przed rozwiązaniem tej umowy.</w:t>
      </w:r>
    </w:p>
    <w:p w:rsidR="00186370" w:rsidRPr="00E207FC" w:rsidRDefault="00186370" w:rsidP="00186370">
      <w:pPr>
        <w:tabs>
          <w:tab w:val="left" w:pos="284"/>
        </w:tabs>
        <w:spacing w:line="240" w:lineRule="atLeast"/>
        <w:jc w:val="both"/>
      </w:pPr>
    </w:p>
    <w:p w:rsidR="00186370" w:rsidRPr="00E207FC" w:rsidRDefault="00186370" w:rsidP="00186370">
      <w:pPr>
        <w:tabs>
          <w:tab w:val="left" w:pos="284"/>
        </w:tabs>
        <w:spacing w:line="240" w:lineRule="atLeast"/>
        <w:jc w:val="center"/>
      </w:pPr>
      <w:r w:rsidRPr="00E207FC">
        <w:t>§ 8</w:t>
      </w:r>
    </w:p>
    <w:p w:rsidR="00186370" w:rsidRPr="00E207FC" w:rsidRDefault="00186370" w:rsidP="00186370">
      <w:pPr>
        <w:spacing w:line="240" w:lineRule="atLeast"/>
        <w:ind w:left="284" w:hanging="284"/>
        <w:jc w:val="both"/>
      </w:pPr>
      <w:r w:rsidRPr="00E207FC">
        <w:t>1.</w:t>
      </w:r>
      <w:r w:rsidRPr="00E207FC">
        <w:tab/>
        <w:t xml:space="preserve">Zgromadzenie Wspólników postanawia, że zakaz konkurencji po ustaniu stosunku będącego podstawą pełnienia funkcji przez Prezesa Zarządu Spółki może być ustanowiony jedynie </w:t>
      </w:r>
      <w:r w:rsidR="0055750F">
        <w:br/>
      </w:r>
      <w:r w:rsidRPr="00E207FC">
        <w:t>w przypadku pełnienia funkcji przez Prezesa Zarządu Spółki przez okres co najmniej trzech miesięcy.</w:t>
      </w:r>
    </w:p>
    <w:p w:rsidR="00186370" w:rsidRPr="00E207FC" w:rsidRDefault="00186370" w:rsidP="00186370">
      <w:pPr>
        <w:spacing w:line="240" w:lineRule="atLeast"/>
        <w:ind w:left="284" w:hanging="284"/>
        <w:jc w:val="both"/>
      </w:pPr>
      <w:r w:rsidRPr="00E207FC">
        <w:t>2. Umowa o zakazie konkurencji z Prezesem Zarządu Spółki może przewidywać okres zakazu konkurencji nieprzekraczający sześciu miesięcy po ustaniu pełnienia funkcji.</w:t>
      </w:r>
    </w:p>
    <w:p w:rsidR="00186370" w:rsidRPr="00E207FC" w:rsidRDefault="00186370" w:rsidP="00186370">
      <w:pPr>
        <w:spacing w:line="240" w:lineRule="atLeast"/>
        <w:ind w:left="284" w:hanging="284"/>
        <w:jc w:val="both"/>
      </w:pPr>
      <w:r w:rsidRPr="00E207FC">
        <w:t>3.</w:t>
      </w:r>
      <w:r w:rsidRPr="00E207FC">
        <w:tab/>
        <w:t>Nie jest dopuszczalne zawarcie umowy o zakazie konkurencji po rozwiązaniu lub wypowiedzeniu umowy, o której mowa w § 5 tej uchwały.</w:t>
      </w:r>
    </w:p>
    <w:p w:rsidR="00186370" w:rsidRPr="00E207FC" w:rsidRDefault="00186370" w:rsidP="00186370">
      <w:pPr>
        <w:spacing w:line="240" w:lineRule="atLeast"/>
        <w:ind w:left="284" w:hanging="284"/>
        <w:jc w:val="both"/>
      </w:pPr>
      <w:r w:rsidRPr="00E207FC">
        <w:t xml:space="preserve">4. </w:t>
      </w:r>
      <w:r w:rsidRPr="00E207FC">
        <w:tab/>
        <w:t>Z tytułu ustanowienia zakazu konkurencji, o którym mowa w ust. 1 powyżej, Spółka zobowiązana będzie wypłacać Prezesowi Zarządu Spółki za każdy miesiąc obowiązywania zakazu konkurencji odszkodowanie w wysokości 100% wynagrodzenia miesięcznego podstawowego otrzymywanego przed ustaniem pełnienia funkcji.</w:t>
      </w:r>
    </w:p>
    <w:p w:rsidR="00186370" w:rsidRPr="00E207FC" w:rsidRDefault="00186370" w:rsidP="00186370">
      <w:pPr>
        <w:spacing w:line="240" w:lineRule="atLeast"/>
        <w:ind w:left="284" w:hanging="284"/>
        <w:jc w:val="both"/>
      </w:pPr>
      <w:r w:rsidRPr="00E207FC">
        <w:t>5. W razie niewykonania lub nienależytego wykonania przez Prezesa Zarządu Spółki umowy o zakazie konkurencji, o której mowa powyżej, będzie on zobowiązany do zapłaty kary</w:t>
      </w:r>
      <w:r w:rsidRPr="00E32484">
        <w:rPr>
          <w:color w:val="FF0000"/>
        </w:rPr>
        <w:t xml:space="preserve"> </w:t>
      </w:r>
      <w:r w:rsidRPr="00E207FC">
        <w:lastRenderedPageBreak/>
        <w:t>umownej na rzecz Spółki o wysokości odpowiadającej wartości odszkodowania przysługującego za cały okres zakazu konkurencji.</w:t>
      </w:r>
    </w:p>
    <w:p w:rsidR="00186370" w:rsidRPr="00E207FC" w:rsidRDefault="00186370" w:rsidP="00186370">
      <w:pPr>
        <w:spacing w:line="240" w:lineRule="atLeast"/>
        <w:ind w:left="284" w:hanging="284"/>
        <w:jc w:val="both"/>
      </w:pPr>
      <w:r w:rsidRPr="00E207FC">
        <w:t xml:space="preserve">6. Zakaz konkurencji przestaje obowiązywać przed upływem terminu, na jaki została zawarta umowa o zakazie konkurencji, w razie podjęcia przez Prezesa Zarządu </w:t>
      </w:r>
      <w:r w:rsidRPr="00821FDE">
        <w:t>Spółki pracy w innym podmiocie; w razie ustania przyczyn uzasadniających taki zakaz i w</w:t>
      </w:r>
      <w:r w:rsidRPr="00E207FC">
        <w:t xml:space="preserve"> razie niewywiązywania się Spółki z obowiązku wypłaty odszkodowania.</w:t>
      </w:r>
    </w:p>
    <w:p w:rsidR="00186370" w:rsidRDefault="00186370" w:rsidP="00186370">
      <w:pPr>
        <w:spacing w:line="240" w:lineRule="atLeast"/>
        <w:ind w:left="284" w:hanging="284"/>
        <w:jc w:val="both"/>
      </w:pPr>
    </w:p>
    <w:p w:rsidR="00186370" w:rsidRPr="00E207FC" w:rsidRDefault="00186370" w:rsidP="00186370">
      <w:pPr>
        <w:spacing w:line="240" w:lineRule="atLeast"/>
        <w:jc w:val="center"/>
      </w:pPr>
      <w:r w:rsidRPr="00E207FC">
        <w:t>§ 9</w:t>
      </w:r>
    </w:p>
    <w:p w:rsidR="00186370" w:rsidRPr="00E207FC" w:rsidRDefault="00186370" w:rsidP="00186370">
      <w:pPr>
        <w:spacing w:line="240" w:lineRule="atLeast"/>
        <w:jc w:val="both"/>
      </w:pPr>
      <w:r w:rsidRPr="00E207FC">
        <w:t>Zgromadzenie Wspólników zobowiązuje Radę Nadzorczą Spółki do rozwiązania umowy o pracę zawartej z Prezesem Zarządu Spółki dnia 26 lutego 2007 roku, zmienionej w porozumieniu z dnia 26 stycznia 2016 roku oraz do zawarcia z Prezesem Zarządu Spółki umowy o świadczenie usług zarządzania.</w:t>
      </w:r>
    </w:p>
    <w:p w:rsidR="00186370" w:rsidRPr="00E207FC" w:rsidRDefault="00186370" w:rsidP="00186370">
      <w:pPr>
        <w:spacing w:line="240" w:lineRule="atLeast"/>
        <w:jc w:val="both"/>
      </w:pPr>
    </w:p>
    <w:p w:rsidR="00186370" w:rsidRPr="00E207FC" w:rsidRDefault="00186370" w:rsidP="00186370">
      <w:pPr>
        <w:spacing w:line="240" w:lineRule="atLeast"/>
        <w:jc w:val="center"/>
      </w:pPr>
      <w:r w:rsidRPr="00E207FC">
        <w:t>§ 10</w:t>
      </w:r>
    </w:p>
    <w:p w:rsidR="00186370" w:rsidRPr="00E207FC" w:rsidRDefault="00186370" w:rsidP="00186370">
      <w:pPr>
        <w:tabs>
          <w:tab w:val="left" w:pos="2160"/>
        </w:tabs>
        <w:spacing w:line="240" w:lineRule="atLeast"/>
        <w:jc w:val="both"/>
      </w:pPr>
      <w:r w:rsidRPr="00E207FC">
        <w:t>Uchwała wchodzi w życie z dniem podpisania z Prezesem Zarządu Spółki umowy o świadczenie usług zarządzania, za wyjątkiem § 9 uchwały, który wchodzi w życie z dniem podjęcia uchwały.</w:t>
      </w:r>
    </w:p>
    <w:p w:rsidR="00186370" w:rsidRPr="00E207FC" w:rsidRDefault="00186370" w:rsidP="00186370">
      <w:pPr>
        <w:tabs>
          <w:tab w:val="left" w:pos="2160"/>
        </w:tabs>
        <w:spacing w:line="240" w:lineRule="atLeast"/>
        <w:jc w:val="both"/>
      </w:pPr>
    </w:p>
    <w:p w:rsidR="00186370" w:rsidRDefault="00186370" w:rsidP="00186370">
      <w:pPr>
        <w:shd w:val="clear" w:color="auto" w:fill="FFFFFF"/>
        <w:suppressAutoHyphens w:val="0"/>
        <w:spacing w:line="240" w:lineRule="atLeast"/>
        <w:jc w:val="both"/>
        <w:rPr>
          <w:rFonts w:ascii="Open Sans" w:hAnsi="Open Sans"/>
          <w:lang w:eastAsia="pl-PL"/>
        </w:rPr>
      </w:pPr>
    </w:p>
    <w:p w:rsidR="00186370" w:rsidRDefault="00186370" w:rsidP="00186370">
      <w:pPr>
        <w:tabs>
          <w:tab w:val="left" w:pos="2160"/>
        </w:tabs>
        <w:spacing w:line="240" w:lineRule="atLeast"/>
        <w:jc w:val="both"/>
      </w:pPr>
    </w:p>
    <w:p w:rsidR="00186370" w:rsidRDefault="00186370" w:rsidP="00186370">
      <w:pPr>
        <w:tabs>
          <w:tab w:val="left" w:pos="2160"/>
        </w:tabs>
        <w:spacing w:line="240" w:lineRule="atLeast"/>
        <w:jc w:val="both"/>
      </w:pPr>
      <w:r>
        <w:tab/>
      </w:r>
      <w:r>
        <w:tab/>
      </w:r>
      <w:r>
        <w:tab/>
      </w:r>
      <w:r>
        <w:tab/>
        <w:t>Przewodniczący Zgromadzenia Wspólników</w:t>
      </w:r>
    </w:p>
    <w:p w:rsidR="00186370" w:rsidRDefault="00186370" w:rsidP="00186370">
      <w:pPr>
        <w:tabs>
          <w:tab w:val="left" w:pos="2160"/>
        </w:tabs>
        <w:spacing w:line="240" w:lineRule="atLeast"/>
        <w:jc w:val="both"/>
      </w:pPr>
    </w:p>
    <w:p w:rsidR="00186370" w:rsidRDefault="00186370" w:rsidP="00186370">
      <w:pPr>
        <w:tabs>
          <w:tab w:val="left" w:pos="2160"/>
        </w:tabs>
        <w:spacing w:line="240" w:lineRule="atLeast"/>
        <w:jc w:val="both"/>
      </w:pPr>
    </w:p>
    <w:p w:rsidR="00186370" w:rsidRDefault="00186370" w:rsidP="00186370">
      <w:pPr>
        <w:tabs>
          <w:tab w:val="left" w:pos="2160"/>
        </w:tabs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  <w:t> </w:t>
      </w:r>
      <w:r w:rsidR="00880656">
        <w:t xml:space="preserve">    </w:t>
      </w:r>
      <w:r>
        <w:t xml:space="preserve"> Tomasz </w:t>
      </w:r>
      <w:proofErr w:type="spellStart"/>
      <w:r>
        <w:t>Frischmann</w:t>
      </w:r>
      <w:proofErr w:type="spellEnd"/>
    </w:p>
    <w:p w:rsidR="00186370" w:rsidRDefault="00186370" w:rsidP="00186370">
      <w:pPr>
        <w:tabs>
          <w:tab w:val="left" w:pos="2160"/>
        </w:tabs>
        <w:spacing w:line="240" w:lineRule="atLeast"/>
        <w:jc w:val="both"/>
      </w:pPr>
    </w:p>
    <w:p w:rsidR="00F57295" w:rsidRDefault="00F57295"/>
    <w:sectPr w:rsidR="00F5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1475"/>
    <w:multiLevelType w:val="hybridMultilevel"/>
    <w:tmpl w:val="72F6E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055C"/>
    <w:multiLevelType w:val="hybridMultilevel"/>
    <w:tmpl w:val="DAB63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1AA2"/>
    <w:multiLevelType w:val="hybridMultilevel"/>
    <w:tmpl w:val="6DE0A0A8"/>
    <w:lvl w:ilvl="0" w:tplc="B8A899A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70"/>
    <w:rsid w:val="000138F3"/>
    <w:rsid w:val="00186370"/>
    <w:rsid w:val="00306699"/>
    <w:rsid w:val="0055750F"/>
    <w:rsid w:val="005978B9"/>
    <w:rsid w:val="00750098"/>
    <w:rsid w:val="008070E5"/>
    <w:rsid w:val="00880656"/>
    <w:rsid w:val="00957BD3"/>
    <w:rsid w:val="00A0172F"/>
    <w:rsid w:val="00AF12BE"/>
    <w:rsid w:val="00BB382E"/>
    <w:rsid w:val="00C61E87"/>
    <w:rsid w:val="00F57295"/>
    <w:rsid w:val="00F9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8E27-EA35-4771-A618-94C88133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8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2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ZWIK Sp. z o.o.</dc:creator>
  <cp:keywords/>
  <dc:description/>
  <cp:lastModifiedBy>Biuro ZWIK Sp. z o.o.</cp:lastModifiedBy>
  <cp:revision>2</cp:revision>
  <cp:lastPrinted>2017-06-07T07:49:00Z</cp:lastPrinted>
  <dcterms:created xsi:type="dcterms:W3CDTF">2017-07-24T08:44:00Z</dcterms:created>
  <dcterms:modified xsi:type="dcterms:W3CDTF">2017-07-24T08:44:00Z</dcterms:modified>
</cp:coreProperties>
</file>