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5B" w:rsidRDefault="00DC048E"/>
    <w:p w:rsidR="00DC048E" w:rsidRDefault="00DC048E"/>
    <w:p w:rsidR="00DC048E" w:rsidRPr="00DC048E" w:rsidRDefault="00DC048E" w:rsidP="00DC0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8E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DC048E" w:rsidRPr="00DC048E" w:rsidRDefault="00DC048E" w:rsidP="00DC04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048E">
        <w:rPr>
          <w:rFonts w:ascii="Times New Roman" w:hAnsi="Times New Roman" w:cs="Times New Roman"/>
          <w:sz w:val="24"/>
          <w:szCs w:val="24"/>
        </w:rPr>
        <w:t>Zmiana Statutu Oławskiego Centrum Kultury Fizycznej jest niezbędna, ponieważ wynika z rozszerzenia działalności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C048E" w:rsidRPr="00DC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8E"/>
    <w:rsid w:val="00225444"/>
    <w:rsid w:val="007D2C38"/>
    <w:rsid w:val="00D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C69CE-26AD-4345-9B03-1092CA9E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OCKF</dc:creator>
  <cp:keywords/>
  <dc:description/>
  <cp:lastModifiedBy>OCKF</cp:lastModifiedBy>
  <cp:revision>1</cp:revision>
  <dcterms:created xsi:type="dcterms:W3CDTF">2019-02-05T10:32:00Z</dcterms:created>
  <dcterms:modified xsi:type="dcterms:W3CDTF">2019-02-05T10:36:00Z</dcterms:modified>
</cp:coreProperties>
</file>